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3E" w:rsidRPr="007D3612" w:rsidRDefault="00CA027B" w:rsidP="00B96FE4">
      <w:pPr>
        <w:spacing w:after="240"/>
        <w:ind w:right="720"/>
        <w:rPr>
          <w:rStyle w:val="Strong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-485775</wp:posOffset>
                </wp:positionV>
                <wp:extent cx="1692275" cy="724535"/>
                <wp:effectExtent l="0" t="0" r="317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7A" w:rsidRDefault="00CA027B" w:rsidP="00D94B5B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8760" cy="632460"/>
                                  <wp:effectExtent l="0" t="0" r="0" b="0"/>
                                  <wp:docPr id="1" name="Picture 1" descr="TMF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MF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.9pt;margin-top:-38.25pt;width:133.25pt;height:57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pNsQIAALc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" filled="f" stroked="f">
                <v:textbox style="mso-fit-shape-to-text:t">
                  <w:txbxContent>
                    <w:p w:rsidR="00A0367A" w:rsidRDefault="00CA027B" w:rsidP="00D94B5B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8760" cy="632460"/>
                            <wp:effectExtent l="0" t="0" r="0" b="0"/>
                            <wp:docPr id="1" name="Picture 1" descr="TMF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MF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022">
        <w:rPr>
          <w:rFonts w:cs="Arial"/>
        </w:rPr>
        <w:cr/>
      </w:r>
      <w:r w:rsidR="00886022">
        <w:rPr>
          <w:rFonts w:cs="Arial"/>
        </w:rPr>
        <w:cr/>
      </w:r>
      <w:r w:rsidR="00886022" w:rsidRPr="007D3612">
        <w:rPr>
          <w:rStyle w:val="Strong"/>
        </w:rPr>
        <w:t>FOR IMMEDIATE RELEASE</w:t>
      </w:r>
      <w:r w:rsidR="00886022" w:rsidRPr="007D3612">
        <w:rPr>
          <w:rStyle w:val="Strong"/>
        </w:rPr>
        <w:cr/>
      </w:r>
      <w:r w:rsidR="00886022" w:rsidRPr="007D3612">
        <w:rPr>
          <w:rStyle w:val="Strong"/>
        </w:rPr>
        <w:cr/>
      </w:r>
    </w:p>
    <w:p w:rsidR="00257904" w:rsidRDefault="007D375D" w:rsidP="00257904">
      <w:pPr>
        <w:pStyle w:val="Heading1"/>
        <w:spacing w:before="0" w:beforeAutospacing="0" w:after="0" w:afterAutospacing="0"/>
      </w:pPr>
      <w:r w:rsidRPr="00156F69">
        <w:t xml:space="preserve">TMF Health Quality Institute </w:t>
      </w:r>
      <w:r w:rsidR="00A239E9">
        <w:t xml:space="preserve">Continues </w:t>
      </w:r>
      <w:r w:rsidR="00257904">
        <w:t>Partners</w:t>
      </w:r>
      <w:r w:rsidR="00A239E9">
        <w:t>hip</w:t>
      </w:r>
      <w:r w:rsidR="00257904">
        <w:t xml:space="preserve"> with </w:t>
      </w:r>
    </w:p>
    <w:p w:rsidR="00FB2EC0" w:rsidRPr="00156F69" w:rsidRDefault="00A239E9" w:rsidP="00257904">
      <w:pPr>
        <w:pStyle w:val="Heading1"/>
        <w:spacing w:before="0" w:beforeAutospacing="0" w:after="0" w:afterAutospacing="0"/>
        <w:rPr>
          <w:i/>
        </w:rPr>
      </w:pPr>
      <w:r>
        <w:t>Meals on Wheels Central Texas</w:t>
      </w:r>
      <w:bookmarkStart w:id="0" w:name="_GoBack"/>
      <w:bookmarkEnd w:id="0"/>
    </w:p>
    <w:p w:rsidR="00CB313E" w:rsidRPr="00D22A5A" w:rsidRDefault="004673C5" w:rsidP="00FB2EC0">
      <w:pPr>
        <w:pStyle w:val="Heading2"/>
      </w:pPr>
      <w:r w:rsidRPr="00156F69">
        <w:t xml:space="preserve">TMF </w:t>
      </w:r>
      <w:r w:rsidR="00257904">
        <w:t xml:space="preserve">Sponsors Day of Meals for </w:t>
      </w:r>
      <w:r w:rsidR="00A0367A">
        <w:t xml:space="preserve">3,000 </w:t>
      </w:r>
      <w:r w:rsidR="00257904">
        <w:t>Austin Residents</w:t>
      </w:r>
    </w:p>
    <w:p w:rsidR="00257904" w:rsidRPr="00A0367A" w:rsidRDefault="00946C42" w:rsidP="00A0367A">
      <w:pPr>
        <w:spacing w:after="240"/>
        <w:rPr>
          <w:rFonts w:cs="Arial"/>
        </w:rPr>
      </w:pPr>
      <w:r w:rsidRPr="00A0367A">
        <w:rPr>
          <w:rFonts w:cs="Arial"/>
        </w:rPr>
        <w:t>Austin, Texas</w:t>
      </w:r>
      <w:r w:rsidR="00886022" w:rsidRPr="00A0367A">
        <w:rPr>
          <w:rFonts w:cs="Arial"/>
        </w:rPr>
        <w:t xml:space="preserve"> –</w:t>
      </w:r>
      <w:r w:rsidR="00517DD9" w:rsidRPr="00A0367A">
        <w:rPr>
          <w:rFonts w:cs="Arial"/>
        </w:rPr>
        <w:t xml:space="preserve"> </w:t>
      </w:r>
      <w:r w:rsidR="00A239E9">
        <w:rPr>
          <w:rFonts w:cs="Arial"/>
        </w:rPr>
        <w:t>April 1</w:t>
      </w:r>
      <w:r w:rsidR="00E8331B">
        <w:rPr>
          <w:rFonts w:cs="Arial"/>
        </w:rPr>
        <w:t>0</w:t>
      </w:r>
      <w:r w:rsidR="00A239E9">
        <w:rPr>
          <w:rFonts w:cs="Arial"/>
        </w:rPr>
        <w:t>, 201</w:t>
      </w:r>
      <w:r w:rsidR="00E8331B">
        <w:rPr>
          <w:rFonts w:cs="Arial"/>
        </w:rPr>
        <w:t>9</w:t>
      </w:r>
      <w:r w:rsidR="00517DD9" w:rsidRPr="00A0367A">
        <w:rPr>
          <w:rFonts w:cs="Arial"/>
        </w:rPr>
        <w:t xml:space="preserve"> –</w:t>
      </w:r>
      <w:r w:rsidR="00257904" w:rsidRPr="00A0367A">
        <w:rPr>
          <w:rFonts w:cs="Arial"/>
        </w:rPr>
        <w:t xml:space="preserve"> TMF Health Quality Institute, a leading non-profit health care consulting company based in Austin, has a long history</w:t>
      </w:r>
      <w:r w:rsidR="00A239E9">
        <w:rPr>
          <w:rFonts w:cs="Arial"/>
        </w:rPr>
        <w:t xml:space="preserve"> of support for </w:t>
      </w:r>
      <w:hyperlink r:id="rId9" w:history="1">
        <w:r w:rsidR="00A239E9" w:rsidRPr="00A239E9">
          <w:rPr>
            <w:rStyle w:val="Hyperlink"/>
            <w:rFonts w:cs="Arial"/>
          </w:rPr>
          <w:t xml:space="preserve">Meals on </w:t>
        </w:r>
        <w:r w:rsidR="00A239E9" w:rsidRPr="00A239E9">
          <w:rPr>
            <w:rStyle w:val="Hyperlink"/>
            <w:rFonts w:cs="Arial"/>
          </w:rPr>
          <w:t>W</w:t>
        </w:r>
        <w:r w:rsidR="00A239E9" w:rsidRPr="00A239E9">
          <w:rPr>
            <w:rStyle w:val="Hyperlink"/>
            <w:rFonts w:cs="Arial"/>
          </w:rPr>
          <w:t>heels Central Texas</w:t>
        </w:r>
      </w:hyperlink>
      <w:r w:rsidR="00257904" w:rsidRPr="00A0367A">
        <w:rPr>
          <w:rFonts w:cs="Arial"/>
        </w:rPr>
        <w:t xml:space="preserve">. </w:t>
      </w:r>
      <w:r w:rsidR="00A239E9">
        <w:rPr>
          <w:rFonts w:cs="Arial"/>
          <w:lang w:val="en"/>
        </w:rPr>
        <w:t>Meals on Wheels Central Texas</w:t>
      </w:r>
      <w:r w:rsidR="00257904" w:rsidRPr="00A0367A">
        <w:rPr>
          <w:rFonts w:cs="Arial"/>
          <w:lang w:val="en"/>
        </w:rPr>
        <w:t xml:space="preserve"> is one of the largest meal</w:t>
      </w:r>
      <w:r w:rsidR="00A239E9">
        <w:rPr>
          <w:rFonts w:cs="Arial"/>
          <w:lang w:val="en"/>
        </w:rPr>
        <w:t>-delivery organizations in the state</w:t>
      </w:r>
      <w:r w:rsidR="00257904" w:rsidRPr="00A0367A">
        <w:rPr>
          <w:rFonts w:cs="Arial"/>
          <w:lang w:val="en"/>
        </w:rPr>
        <w:t>, distributing meals each business day to homebound older adults and people with disabilities.</w:t>
      </w:r>
    </w:p>
    <w:p w:rsidR="00A0367A" w:rsidRPr="00A0367A" w:rsidRDefault="00A0367A" w:rsidP="00A0367A">
      <w:pPr>
        <w:spacing w:after="240"/>
        <w:rPr>
          <w:rFonts w:cs="Arial"/>
          <w:color w:val="000000"/>
        </w:rPr>
      </w:pPr>
      <w:r>
        <w:rPr>
          <w:rFonts w:cs="Arial"/>
        </w:rPr>
        <w:t xml:space="preserve">On </w:t>
      </w:r>
      <w:r w:rsidR="00A239E9">
        <w:rPr>
          <w:rFonts w:cs="Arial"/>
        </w:rPr>
        <w:t>April 1</w:t>
      </w:r>
      <w:r w:rsidR="00E8331B">
        <w:rPr>
          <w:rFonts w:cs="Arial"/>
        </w:rPr>
        <w:t>0</w:t>
      </w:r>
      <w:r w:rsidR="00257904" w:rsidRPr="00A0367A">
        <w:rPr>
          <w:rFonts w:cs="Arial"/>
        </w:rPr>
        <w:t xml:space="preserve">, TMF </w:t>
      </w:r>
      <w:r w:rsidR="00E8331B">
        <w:rPr>
          <w:rFonts w:cs="Arial"/>
        </w:rPr>
        <w:t>sponsored</w:t>
      </w:r>
      <w:r w:rsidRPr="00A0367A">
        <w:rPr>
          <w:rFonts w:cs="Arial"/>
        </w:rPr>
        <w:t xml:space="preserve"> all meal deliveries for the day; this includes the p</w:t>
      </w:r>
      <w:r w:rsidRPr="00A0367A">
        <w:rPr>
          <w:rFonts w:cs="Arial"/>
          <w:color w:val="000000"/>
        </w:rPr>
        <w:t xml:space="preserve">urchasing, preparation and packaging of more than </w:t>
      </w:r>
      <w:r w:rsidRPr="00A0367A">
        <w:rPr>
          <w:rFonts w:cs="Arial"/>
          <w:bCs/>
        </w:rPr>
        <w:t>3,000</w:t>
      </w:r>
      <w:r w:rsidRPr="00A0367A">
        <w:rPr>
          <w:rFonts w:cs="Arial"/>
          <w:color w:val="000000"/>
        </w:rPr>
        <w:t xml:space="preserve"> meals.</w:t>
      </w:r>
    </w:p>
    <w:p w:rsidR="00A0367A" w:rsidRPr="00A0367A" w:rsidRDefault="00A0367A" w:rsidP="00A0367A">
      <w:pPr>
        <w:spacing w:after="240"/>
        <w:rPr>
          <w:rFonts w:cs="Arial"/>
        </w:rPr>
      </w:pPr>
      <w:r w:rsidRPr="00A0367A">
        <w:rPr>
          <w:rFonts w:cs="Arial"/>
          <w:color w:val="000000"/>
        </w:rPr>
        <w:t xml:space="preserve">“We are pleased to be able to support such an important program,” said Tom Manley, TMF </w:t>
      </w:r>
      <w:r w:rsidR="00C32563">
        <w:rPr>
          <w:rFonts w:cs="Arial"/>
          <w:color w:val="000000"/>
        </w:rPr>
        <w:t xml:space="preserve">president and </w:t>
      </w:r>
      <w:r w:rsidRPr="00A0367A">
        <w:rPr>
          <w:rFonts w:cs="Arial"/>
          <w:color w:val="000000"/>
        </w:rPr>
        <w:t xml:space="preserve">CEO. “TMF employee teams have been delivering meals twice a week for </w:t>
      </w:r>
      <w:r w:rsidR="00A239E9">
        <w:rPr>
          <w:rFonts w:cs="Arial"/>
          <w:color w:val="000000"/>
        </w:rPr>
        <w:t xml:space="preserve">more than </w:t>
      </w:r>
      <w:r w:rsidR="0016011E">
        <w:rPr>
          <w:rFonts w:cs="Arial"/>
          <w:color w:val="000000"/>
        </w:rPr>
        <w:t xml:space="preserve">10 </w:t>
      </w:r>
      <w:r w:rsidRPr="00A0367A">
        <w:rPr>
          <w:rFonts w:cs="Arial"/>
          <w:color w:val="000000"/>
        </w:rPr>
        <w:t>years and we look forward to continuing this tradition.”</w:t>
      </w:r>
    </w:p>
    <w:p w:rsidR="00A0367A" w:rsidRPr="005E1A81" w:rsidRDefault="00A0367A" w:rsidP="00CF0392">
      <w:pPr>
        <w:spacing w:before="240" w:after="240"/>
      </w:pPr>
    </w:p>
    <w:p w:rsidR="007D3612" w:rsidRPr="007D3612" w:rsidRDefault="007D3612" w:rsidP="00B96FE4">
      <w:pPr>
        <w:spacing w:after="240"/>
        <w:rPr>
          <w:rStyle w:val="Emphasis"/>
        </w:rPr>
      </w:pPr>
      <w:r w:rsidRPr="007D3612">
        <w:rPr>
          <w:rStyle w:val="Emphasis"/>
        </w:rPr>
        <w:t>About TMF Health Quality Institute</w:t>
      </w:r>
    </w:p>
    <w:p w:rsidR="00886022" w:rsidRPr="005E1A81" w:rsidRDefault="009E31F6" w:rsidP="00B96FE4">
      <w:pPr>
        <w:spacing w:after="240"/>
      </w:pPr>
      <w:r w:rsidRPr="009E31F6">
        <w:t xml:space="preserve">TMF Health Quality Institute focuses on improving lives by improving the quality of health care through contracts with federal, state and local governments, as well as private </w:t>
      </w:r>
      <w:proofErr w:type="gramStart"/>
      <w:r w:rsidRPr="009E31F6">
        <w:t>organizations</w:t>
      </w:r>
      <w:proofErr w:type="gramEnd"/>
      <w:r w:rsidRPr="009E31F6">
        <w:t xml:space="preserve">. For </w:t>
      </w:r>
      <w:r w:rsidR="00B167C6">
        <w:t>more than 45</w:t>
      </w:r>
      <w:r w:rsidRPr="009E31F6">
        <w:t xml:space="preserve"> years, TMF has helped health care providers and practitioners in a variety of settings improve care for their patients.</w:t>
      </w:r>
    </w:p>
    <w:p w:rsidR="00886022" w:rsidRDefault="00886022" w:rsidP="00B96FE4">
      <w:pPr>
        <w:pStyle w:val="BusinessLetterText"/>
        <w:autoSpaceDE w:val="0"/>
        <w:autoSpaceDN w:val="0"/>
        <w:adjustRightInd w:val="0"/>
        <w:spacing w:after="240"/>
        <w:rPr>
          <w:rFonts w:cs="Arial"/>
          <w:sz w:val="24"/>
        </w:rPr>
      </w:pPr>
    </w:p>
    <w:p w:rsidR="007D3612" w:rsidRPr="00665207" w:rsidRDefault="007D3612" w:rsidP="00B96FE4">
      <w:pPr>
        <w:spacing w:after="240"/>
        <w:rPr>
          <w:b/>
          <w:sz w:val="22"/>
        </w:rPr>
      </w:pPr>
      <w:r w:rsidRPr="00665207">
        <w:rPr>
          <w:b/>
          <w:sz w:val="22"/>
        </w:rPr>
        <w:t>Media Contacts:</w:t>
      </w:r>
    </w:p>
    <w:p w:rsidR="007D3612" w:rsidRPr="00665207" w:rsidRDefault="008003FD" w:rsidP="00B96FE4">
      <w:pPr>
        <w:spacing w:after="240"/>
      </w:pPr>
      <w:r w:rsidRPr="00665207">
        <w:rPr>
          <w:sz w:val="22"/>
        </w:rPr>
        <w:t>Emilie Fennell</w:t>
      </w:r>
      <w:r w:rsidR="007D3612" w:rsidRPr="00665207">
        <w:rPr>
          <w:sz w:val="22"/>
        </w:rPr>
        <w:br/>
      </w:r>
      <w:r w:rsidR="00665207">
        <w:rPr>
          <w:sz w:val="22"/>
        </w:rPr>
        <w:t>Director</w:t>
      </w:r>
      <w:r w:rsidRPr="00665207">
        <w:rPr>
          <w:sz w:val="22"/>
        </w:rPr>
        <w:t>, Communications</w:t>
      </w:r>
      <w:r w:rsidR="00665207">
        <w:rPr>
          <w:sz w:val="22"/>
        </w:rPr>
        <w:t xml:space="preserve"> and External Relations</w:t>
      </w:r>
      <w:r w:rsidR="007D3612" w:rsidRPr="00665207">
        <w:rPr>
          <w:sz w:val="22"/>
        </w:rPr>
        <w:br/>
        <w:t>TM</w:t>
      </w:r>
      <w:r w:rsidRPr="00665207">
        <w:rPr>
          <w:sz w:val="22"/>
        </w:rPr>
        <w:t>F Health Quality Institute</w:t>
      </w:r>
      <w:r w:rsidR="007D3612" w:rsidRPr="00665207">
        <w:rPr>
          <w:sz w:val="22"/>
        </w:rPr>
        <w:br/>
        <w:t>512-334-1649</w:t>
      </w:r>
    </w:p>
    <w:p w:rsidR="00886022" w:rsidRPr="007D3612" w:rsidRDefault="00665207" w:rsidP="009D6AFC">
      <w:pPr>
        <w:spacing w:after="240"/>
        <w:rPr>
          <w:b/>
        </w:rPr>
      </w:pPr>
      <w:r>
        <w:rPr>
          <w:sz w:val="22"/>
        </w:rPr>
        <w:t>emilie.fennell@tmf.org</w:t>
      </w:r>
    </w:p>
    <w:sectPr w:rsidR="00886022" w:rsidRPr="007D3612">
      <w:headerReference w:type="default" r:id="rId10"/>
      <w:footerReference w:type="defaul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B1" w:rsidRDefault="008D56B1">
      <w:r>
        <w:separator/>
      </w:r>
    </w:p>
  </w:endnote>
  <w:endnote w:type="continuationSeparator" w:id="0">
    <w:p w:rsidR="008D56B1" w:rsidRDefault="008D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7A" w:rsidRDefault="00A0367A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br/>
    </w:r>
  </w:p>
  <w:p w:rsidR="00A0367A" w:rsidRDefault="00A03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B1" w:rsidRDefault="008D56B1">
      <w:r>
        <w:separator/>
      </w:r>
    </w:p>
  </w:footnote>
  <w:footnote w:type="continuationSeparator" w:id="0">
    <w:p w:rsidR="008D56B1" w:rsidRDefault="008D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7A" w:rsidRDefault="00A0367A">
    <w:pPr>
      <w:pStyle w:val="Header"/>
      <w:jc w:val="center"/>
      <w:rPr>
        <w:rFonts w:cs="Arial"/>
        <w:b/>
        <w:bCs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694"/>
    <w:multiLevelType w:val="hybridMultilevel"/>
    <w:tmpl w:val="CCBE2868"/>
    <w:lvl w:ilvl="0" w:tplc="B8564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AEC1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016E4"/>
    <w:multiLevelType w:val="hybridMultilevel"/>
    <w:tmpl w:val="B93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1EB"/>
    <w:multiLevelType w:val="hybridMultilevel"/>
    <w:tmpl w:val="7922AE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DD50736"/>
    <w:multiLevelType w:val="hybridMultilevel"/>
    <w:tmpl w:val="C90C4702"/>
    <w:lvl w:ilvl="0" w:tplc="8DB85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29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E0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A4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D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2C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AD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44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63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10131"/>
    <w:multiLevelType w:val="hybridMultilevel"/>
    <w:tmpl w:val="A3881A9E"/>
    <w:lvl w:ilvl="0" w:tplc="A5205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C21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A0B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0CE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1EE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880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E8F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7EAE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CE3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47825"/>
    <w:multiLevelType w:val="hybridMultilevel"/>
    <w:tmpl w:val="FCFCF486"/>
    <w:lvl w:ilvl="0" w:tplc="3E549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645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76C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34A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88E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AA9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601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E88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400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A44E3"/>
    <w:multiLevelType w:val="hybridMultilevel"/>
    <w:tmpl w:val="09DC9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83767"/>
    <w:multiLevelType w:val="hybridMultilevel"/>
    <w:tmpl w:val="675EDE00"/>
    <w:lvl w:ilvl="0" w:tplc="0409001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283A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5071C"/>
    <w:multiLevelType w:val="hybridMultilevel"/>
    <w:tmpl w:val="B4F0E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D6656"/>
    <w:multiLevelType w:val="hybridMultilevel"/>
    <w:tmpl w:val="8E3C3E44"/>
    <w:lvl w:ilvl="0" w:tplc="F78C713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C2EC9060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5D389A76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13A4F6CA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360239B8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D19CE092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C1485C5E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D4D468F6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34EA568A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6"/>
    <w:rsid w:val="00013735"/>
    <w:rsid w:val="00042DDD"/>
    <w:rsid w:val="00047C6D"/>
    <w:rsid w:val="00067C1E"/>
    <w:rsid w:val="00097659"/>
    <w:rsid w:val="000A3449"/>
    <w:rsid w:val="000A7AB2"/>
    <w:rsid w:val="000B7715"/>
    <w:rsid w:val="000C33DD"/>
    <w:rsid w:val="00113905"/>
    <w:rsid w:val="0014134B"/>
    <w:rsid w:val="00155A1E"/>
    <w:rsid w:val="00156F69"/>
    <w:rsid w:val="0016011E"/>
    <w:rsid w:val="001A597E"/>
    <w:rsid w:val="001C7E45"/>
    <w:rsid w:val="001D2B00"/>
    <w:rsid w:val="00231155"/>
    <w:rsid w:val="00257904"/>
    <w:rsid w:val="00291FD7"/>
    <w:rsid w:val="002B17ED"/>
    <w:rsid w:val="002E6C34"/>
    <w:rsid w:val="00300BA5"/>
    <w:rsid w:val="003363AD"/>
    <w:rsid w:val="00364DBD"/>
    <w:rsid w:val="00385126"/>
    <w:rsid w:val="003B7568"/>
    <w:rsid w:val="003D0E1E"/>
    <w:rsid w:val="003F1233"/>
    <w:rsid w:val="0040456E"/>
    <w:rsid w:val="004366ED"/>
    <w:rsid w:val="00447911"/>
    <w:rsid w:val="004673C5"/>
    <w:rsid w:val="00471E52"/>
    <w:rsid w:val="004948F3"/>
    <w:rsid w:val="004973B2"/>
    <w:rsid w:val="004A64FD"/>
    <w:rsid w:val="004D42CD"/>
    <w:rsid w:val="004E46B5"/>
    <w:rsid w:val="004F3D12"/>
    <w:rsid w:val="005146D7"/>
    <w:rsid w:val="005172D7"/>
    <w:rsid w:val="00517DD9"/>
    <w:rsid w:val="005245F7"/>
    <w:rsid w:val="0053282D"/>
    <w:rsid w:val="00563851"/>
    <w:rsid w:val="00563AE4"/>
    <w:rsid w:val="00575744"/>
    <w:rsid w:val="005C5A7F"/>
    <w:rsid w:val="005E0380"/>
    <w:rsid w:val="005E1A81"/>
    <w:rsid w:val="006311C6"/>
    <w:rsid w:val="00635462"/>
    <w:rsid w:val="00636C6A"/>
    <w:rsid w:val="00665207"/>
    <w:rsid w:val="006E613E"/>
    <w:rsid w:val="007034FF"/>
    <w:rsid w:val="00732D8D"/>
    <w:rsid w:val="007346E7"/>
    <w:rsid w:val="00735921"/>
    <w:rsid w:val="00742D61"/>
    <w:rsid w:val="00771FE5"/>
    <w:rsid w:val="007802D0"/>
    <w:rsid w:val="00790C66"/>
    <w:rsid w:val="00793D64"/>
    <w:rsid w:val="0079451F"/>
    <w:rsid w:val="007B22BE"/>
    <w:rsid w:val="007D3612"/>
    <w:rsid w:val="007D375D"/>
    <w:rsid w:val="007E3481"/>
    <w:rsid w:val="007E7CC7"/>
    <w:rsid w:val="007F0C64"/>
    <w:rsid w:val="008003FD"/>
    <w:rsid w:val="008172CE"/>
    <w:rsid w:val="00886022"/>
    <w:rsid w:val="008D56B1"/>
    <w:rsid w:val="008E1482"/>
    <w:rsid w:val="008F60D9"/>
    <w:rsid w:val="0093757F"/>
    <w:rsid w:val="00946C42"/>
    <w:rsid w:val="00961619"/>
    <w:rsid w:val="009666B0"/>
    <w:rsid w:val="00967160"/>
    <w:rsid w:val="00974F97"/>
    <w:rsid w:val="0098293C"/>
    <w:rsid w:val="00991053"/>
    <w:rsid w:val="009960F5"/>
    <w:rsid w:val="009B2526"/>
    <w:rsid w:val="009B63F3"/>
    <w:rsid w:val="009D2C98"/>
    <w:rsid w:val="009D6AFC"/>
    <w:rsid w:val="009E31F6"/>
    <w:rsid w:val="00A0367A"/>
    <w:rsid w:val="00A0734C"/>
    <w:rsid w:val="00A239E9"/>
    <w:rsid w:val="00A561D6"/>
    <w:rsid w:val="00AA4AB6"/>
    <w:rsid w:val="00AA63A7"/>
    <w:rsid w:val="00AB5151"/>
    <w:rsid w:val="00AD253E"/>
    <w:rsid w:val="00AE2F2E"/>
    <w:rsid w:val="00AE6D21"/>
    <w:rsid w:val="00B01415"/>
    <w:rsid w:val="00B07F75"/>
    <w:rsid w:val="00B10AF0"/>
    <w:rsid w:val="00B161AB"/>
    <w:rsid w:val="00B167C6"/>
    <w:rsid w:val="00B174E0"/>
    <w:rsid w:val="00B46063"/>
    <w:rsid w:val="00B626B0"/>
    <w:rsid w:val="00B96FE4"/>
    <w:rsid w:val="00BA3F67"/>
    <w:rsid w:val="00BA52D0"/>
    <w:rsid w:val="00BB1BEB"/>
    <w:rsid w:val="00BD17FF"/>
    <w:rsid w:val="00BD64AB"/>
    <w:rsid w:val="00BE32A6"/>
    <w:rsid w:val="00BF6C83"/>
    <w:rsid w:val="00C04BB2"/>
    <w:rsid w:val="00C206E6"/>
    <w:rsid w:val="00C32563"/>
    <w:rsid w:val="00C516F3"/>
    <w:rsid w:val="00C8045C"/>
    <w:rsid w:val="00C95543"/>
    <w:rsid w:val="00C96DF7"/>
    <w:rsid w:val="00CA00D4"/>
    <w:rsid w:val="00CA027B"/>
    <w:rsid w:val="00CB313E"/>
    <w:rsid w:val="00CF0392"/>
    <w:rsid w:val="00CF1135"/>
    <w:rsid w:val="00D04493"/>
    <w:rsid w:val="00D1063E"/>
    <w:rsid w:val="00D22A5A"/>
    <w:rsid w:val="00D37F23"/>
    <w:rsid w:val="00D510A1"/>
    <w:rsid w:val="00D93BF0"/>
    <w:rsid w:val="00D94B5B"/>
    <w:rsid w:val="00DD578E"/>
    <w:rsid w:val="00DF0B8D"/>
    <w:rsid w:val="00E33EFD"/>
    <w:rsid w:val="00E718FD"/>
    <w:rsid w:val="00E8331B"/>
    <w:rsid w:val="00EC610C"/>
    <w:rsid w:val="00F1518F"/>
    <w:rsid w:val="00F41C12"/>
    <w:rsid w:val="00F61CAB"/>
    <w:rsid w:val="00F67C40"/>
    <w:rsid w:val="00F96F78"/>
    <w:rsid w:val="00FB2EC0"/>
    <w:rsid w:val="00FE0817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A5B830-F1BD-4260-B7D2-992C3E9E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12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7D3612"/>
    <w:pPr>
      <w:spacing w:before="100" w:beforeAutospacing="1" w:after="100" w:afterAutospacing="1"/>
      <w:jc w:val="center"/>
      <w:outlineLvl w:val="0"/>
    </w:pPr>
    <w:rPr>
      <w:rFonts w:eastAsia="Arial Unicode MS" w:cs="Arial Unicode MS"/>
      <w:b/>
      <w:bCs/>
      <w:kern w:val="36"/>
      <w:sz w:val="32"/>
    </w:rPr>
  </w:style>
  <w:style w:type="paragraph" w:styleId="Heading2">
    <w:name w:val="heading 2"/>
    <w:basedOn w:val="Normal"/>
    <w:next w:val="Normal"/>
    <w:qFormat/>
    <w:rsid w:val="00FB2EC0"/>
    <w:pPr>
      <w:keepNext/>
      <w:spacing w:before="240" w:after="240"/>
      <w:jc w:val="center"/>
      <w:outlineLvl w:val="1"/>
    </w:pPr>
    <w:rPr>
      <w:rFonts w:cs="Arial"/>
      <w:b/>
      <w:bCs/>
      <w:i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after="240"/>
    </w:pPr>
    <w:rPr>
      <w:rFonts w:eastAsia="Arial Unicode MS" w:cs="Arial"/>
      <w:color w:val="000000"/>
      <w:sz w:val="20"/>
      <w:szCs w:val="20"/>
    </w:rPr>
  </w:style>
  <w:style w:type="character" w:styleId="Hyperlink">
    <w:name w:val="Hyperlink"/>
    <w:semiHidden/>
    <w:rPr>
      <w:color w:val="336699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sz w:val="22"/>
    </w:rPr>
  </w:style>
  <w:style w:type="paragraph" w:customStyle="1" w:styleId="BusinessLetterText">
    <w:name w:val="Business Letter Text"/>
    <w:basedOn w:val="Normal"/>
    <w:rPr>
      <w:sz w:val="22"/>
    </w:rPr>
  </w:style>
  <w:style w:type="paragraph" w:styleId="BodyTextIndent">
    <w:name w:val="Body Text Indent"/>
    <w:basedOn w:val="Normal"/>
    <w:semiHidden/>
    <w:pPr>
      <w:ind w:left="2880"/>
    </w:pPr>
    <w:rPr>
      <w:rFonts w:cs="Arial"/>
    </w:rPr>
  </w:style>
  <w:style w:type="paragraph" w:styleId="BodyText3">
    <w:name w:val="Body Text 3"/>
    <w:basedOn w:val="Normal"/>
    <w:semiHidden/>
    <w:pPr>
      <w:ind w:right="720"/>
    </w:pPr>
    <w:rPr>
      <w:rFonts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31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B313E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7D3612"/>
    <w:pPr>
      <w:ind w:left="720"/>
    </w:pPr>
    <w:rPr>
      <w:lang w:val="x-none" w:eastAsia="x-none"/>
    </w:rPr>
  </w:style>
  <w:style w:type="character" w:styleId="Strong">
    <w:name w:val="Strong"/>
    <w:uiPriority w:val="22"/>
    <w:qFormat/>
    <w:rsid w:val="007D3612"/>
    <w:rPr>
      <w:rFonts w:ascii="Arial" w:hAnsi="Arial"/>
      <w:b/>
      <w:bCs/>
    </w:rPr>
  </w:style>
  <w:style w:type="character" w:styleId="Emphasis">
    <w:name w:val="Emphasis"/>
    <w:uiPriority w:val="20"/>
    <w:qFormat/>
    <w:rsid w:val="007D3612"/>
    <w:rPr>
      <w:rFonts w:ascii="Arial" w:hAnsi="Arial"/>
      <w:b/>
      <w:iCs/>
      <w:sz w:val="24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32D8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563AE4"/>
    <w:rPr>
      <w:b/>
      <w:bCs/>
    </w:rPr>
  </w:style>
  <w:style w:type="character" w:customStyle="1" w:styleId="CommentTextChar">
    <w:name w:val="Comment Text Char"/>
    <w:link w:val="CommentText"/>
    <w:semiHidden/>
    <w:rsid w:val="00563AE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563AE4"/>
    <w:rPr>
      <w:rFonts w:ascii="Arial" w:hAnsi="Arial"/>
    </w:rPr>
  </w:style>
  <w:style w:type="paragraph" w:customStyle="1" w:styleId="Default">
    <w:name w:val="Default"/>
    <w:rsid w:val="00E33EF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alsonwheelscentraltexas.org/abou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65FE1-EFB7-44C7-82D7-188C2276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year, according to the U</vt:lpstr>
    </vt:vector>
  </TitlesOfParts>
  <Company>CMS</Company>
  <LinksUpToDate>false</LinksUpToDate>
  <CharactersWithSpaces>1507</CharactersWithSpaces>
  <SharedDoc>false</SharedDoc>
  <HLinks>
    <vt:vector size="6" baseType="variant">
      <vt:variant>
        <vt:i4>8192039</vt:i4>
      </vt:variant>
      <vt:variant>
        <vt:i4>0</vt:i4>
      </vt:variant>
      <vt:variant>
        <vt:i4>0</vt:i4>
      </vt:variant>
      <vt:variant>
        <vt:i4>5</vt:i4>
      </vt:variant>
      <vt:variant>
        <vt:lpwstr>https://www.mealsonwheelscentraltexas.org/about-us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year, according to the U</dc:title>
  <dc:subject/>
  <dc:creator>SDPS</dc:creator>
  <cp:keywords/>
  <cp:lastModifiedBy>Hope Stehling</cp:lastModifiedBy>
  <cp:revision>3</cp:revision>
  <cp:lastPrinted>2016-02-01T14:50:00Z</cp:lastPrinted>
  <dcterms:created xsi:type="dcterms:W3CDTF">2019-04-17T18:40:00Z</dcterms:created>
  <dcterms:modified xsi:type="dcterms:W3CDTF">2019-04-17T18:42:00Z</dcterms:modified>
</cp:coreProperties>
</file>